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8FE6E" w14:textId="77777777" w:rsidR="0099125B" w:rsidRDefault="00000000">
      <w:pPr>
        <w:jc w:val="center"/>
      </w:pPr>
      <w:r>
        <w:rPr>
          <w:b/>
          <w:bCs/>
          <w:sz w:val="24"/>
          <w:szCs w:val="24"/>
        </w:rPr>
        <w:t>FORMULARUL ZONELOR PRIORITARE PENTRU BIODIVERSITATE</w:t>
      </w:r>
    </w:p>
    <w:p w14:paraId="66556E64" w14:textId="77777777" w:rsidR="0099125B" w:rsidRDefault="0099125B"/>
    <w:p w14:paraId="7678E783" w14:textId="77777777" w:rsidR="0099125B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17569018" w14:textId="77777777" w:rsidR="0099125B" w:rsidRDefault="00000000">
      <w:r>
        <w:rPr>
          <w:b/>
          <w:bCs/>
          <w:sz w:val="22"/>
          <w:szCs w:val="22"/>
        </w:rPr>
        <w:t>1.1. Codul ZPB*</w:t>
      </w:r>
    </w:p>
    <w:p w14:paraId="6EE293CD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RONPA0260ZPB</w:t>
      </w:r>
    </w:p>
    <w:p w14:paraId="054D0A53" w14:textId="77777777" w:rsidR="0099125B" w:rsidRDefault="00000000">
      <w:pPr>
        <w:rPr>
          <w:i/>
          <w:iCs/>
        </w:rPr>
      </w:pPr>
      <w:r>
        <w:rPr>
          <w:i/>
          <w:iCs/>
        </w:rPr>
        <w:t>*Codare temporară, aceasta va fi actualizată conform specificațiilor de raportare</w:t>
      </w:r>
    </w:p>
    <w:p w14:paraId="7791C686" w14:textId="77777777" w:rsidR="0099125B" w:rsidRDefault="00000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2E7A019C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Cheile Dopca</w:t>
      </w:r>
    </w:p>
    <w:p w14:paraId="199C8C20" w14:textId="77777777" w:rsidR="0099125B" w:rsidRDefault="00000000">
      <w:r>
        <w:rPr>
          <w:b/>
          <w:bCs/>
          <w:sz w:val="22"/>
          <w:szCs w:val="22"/>
        </w:rPr>
        <w:t xml:space="preserve">1.3. Încadrarea ZPB în: </w:t>
      </w:r>
    </w:p>
    <w:p w14:paraId="25B861EC" w14:textId="77777777" w:rsidR="0099125B" w:rsidRDefault="00000000">
      <w:sdt>
        <w:sdtPr>
          <w:tag w:val="goog_rdk_0"/>
          <w:id w:val="-77273141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2D915A5A" w14:textId="77777777" w:rsidR="0099125B" w:rsidRDefault="00000000">
      <w:sdt>
        <w:sdtPr>
          <w:tag w:val="goog_rdk_1"/>
          <w:id w:val="-1613306246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3C43EA57" w14:textId="77777777" w:rsidR="0099125B" w:rsidRDefault="00000000">
      <w:sdt>
        <w:sdtPr>
          <w:tag w:val="goog_rdk_2"/>
          <w:id w:val="-1491536450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7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90"/>
        <w:gridCol w:w="4489"/>
      </w:tblGrid>
      <w:tr w:rsidR="0099125B" w14:paraId="6DF52C8F" w14:textId="77777777">
        <w:tc>
          <w:tcPr>
            <w:tcW w:w="4490" w:type="dxa"/>
          </w:tcPr>
          <w:p w14:paraId="1481D590" w14:textId="77777777" w:rsidR="0099125B" w:rsidRDefault="00000000"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89" w:type="dxa"/>
          </w:tcPr>
          <w:p w14:paraId="53EAB381" w14:textId="77777777" w:rsidR="0099125B" w:rsidRDefault="00000000"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99125B" w14:paraId="30A9EE3C" w14:textId="77777777">
        <w:tc>
          <w:tcPr>
            <w:tcW w:w="4490" w:type="dxa"/>
          </w:tcPr>
          <w:p w14:paraId="71BB5BD6" w14:textId="77777777" w:rsidR="0099125B" w:rsidRDefault="009912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799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99125B" w14:paraId="1E462A33" w14:textId="77777777">
              <w:tc>
                <w:tcPr>
                  <w:tcW w:w="300" w:type="dxa"/>
                </w:tcPr>
                <w:p w14:paraId="3BBF248B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</w:tcPr>
                <w:p w14:paraId="2EE9AF74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</w:tcPr>
                <w:p w14:paraId="55FCCF81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EB163F3" w14:textId="77777777" w:rsidR="0099125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99" w:type="dxa"/>
                </w:tcPr>
                <w:p w14:paraId="5654442F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9C88FEB" w14:textId="77777777" w:rsidR="0099125B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99125B" w14:paraId="50302828" w14:textId="77777777">
              <w:tc>
                <w:tcPr>
                  <w:tcW w:w="300" w:type="dxa"/>
                </w:tcPr>
                <w:p w14:paraId="04CDBBE0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63AD2F94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</w:tcPr>
                <w:p w14:paraId="06072B3E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C12A145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51C1B34D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F0865A5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62816FBB" w14:textId="77777777" w:rsidR="0099125B" w:rsidRDefault="0099125B"/>
        </w:tc>
        <w:tc>
          <w:tcPr>
            <w:tcW w:w="4489" w:type="dxa"/>
          </w:tcPr>
          <w:p w14:paraId="1AA833AD" w14:textId="77777777" w:rsidR="0099125B" w:rsidRDefault="009912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799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99125B" w14:paraId="0F238CBB" w14:textId="77777777">
              <w:tc>
                <w:tcPr>
                  <w:tcW w:w="300" w:type="dxa"/>
                </w:tcPr>
                <w:p w14:paraId="41D3260D" w14:textId="77777777" w:rsidR="0099125B" w:rsidRDefault="0099125B">
                  <w:pPr>
                    <w:jc w:val="center"/>
                  </w:pPr>
                </w:p>
              </w:tc>
              <w:tc>
                <w:tcPr>
                  <w:tcW w:w="299" w:type="dxa"/>
                </w:tcPr>
                <w:p w14:paraId="5C678F05" w14:textId="77777777" w:rsidR="0099125B" w:rsidRDefault="0099125B">
                  <w:pPr>
                    <w:jc w:val="center"/>
                  </w:pPr>
                </w:p>
              </w:tc>
              <w:tc>
                <w:tcPr>
                  <w:tcW w:w="301" w:type="dxa"/>
                </w:tcPr>
                <w:p w14:paraId="0BE6ABE7" w14:textId="77777777" w:rsidR="0099125B" w:rsidRDefault="0099125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2B5D84C7" w14:textId="77777777" w:rsidR="0099125B" w:rsidRDefault="0099125B">
                  <w:pPr>
                    <w:jc w:val="center"/>
                  </w:pPr>
                </w:p>
              </w:tc>
              <w:tc>
                <w:tcPr>
                  <w:tcW w:w="299" w:type="dxa"/>
                </w:tcPr>
                <w:p w14:paraId="3DBB8130" w14:textId="77777777" w:rsidR="0099125B" w:rsidRDefault="0099125B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5D57DF6F" w14:textId="77777777" w:rsidR="0099125B" w:rsidRDefault="0099125B">
                  <w:pPr>
                    <w:jc w:val="center"/>
                  </w:pPr>
                </w:p>
              </w:tc>
            </w:tr>
            <w:tr w:rsidR="0099125B" w14:paraId="6D2CD4EE" w14:textId="77777777">
              <w:tc>
                <w:tcPr>
                  <w:tcW w:w="300" w:type="dxa"/>
                </w:tcPr>
                <w:p w14:paraId="61DA8885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17B44510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</w:tcPr>
                <w:p w14:paraId="79CA3C1E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E714BC6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3B74D4F4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C1A6F4F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6BF1A73E" w14:textId="77777777" w:rsidR="0099125B" w:rsidRDefault="0099125B"/>
        </w:tc>
      </w:tr>
    </w:tbl>
    <w:p w14:paraId="02253F41" w14:textId="77777777" w:rsidR="0099125B" w:rsidRDefault="0099125B"/>
    <w:p w14:paraId="69F850B7" w14:textId="77777777" w:rsidR="0099125B" w:rsidRDefault="00000000">
      <w:r>
        <w:rPr>
          <w:b/>
          <w:bCs/>
          <w:sz w:val="22"/>
          <w:szCs w:val="22"/>
        </w:rPr>
        <w:t>1.6. Responsabili</w:t>
      </w:r>
    </w:p>
    <w:p w14:paraId="763D6DD9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2DAC07DB" w14:textId="77777777" w:rsidR="0099125B" w:rsidRDefault="00000000"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7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54"/>
        <w:gridCol w:w="4525"/>
      </w:tblGrid>
      <w:tr w:rsidR="0099125B" w14:paraId="01B2384E" w14:textId="77777777">
        <w:tc>
          <w:tcPr>
            <w:tcW w:w="4454" w:type="dxa"/>
          </w:tcPr>
          <w:p w14:paraId="3BB6374C" w14:textId="77777777" w:rsidR="0099125B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5874372C" w14:textId="77777777" w:rsidR="0099125B" w:rsidRDefault="009912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799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99125B" w14:paraId="2159D026" w14:textId="77777777">
              <w:tc>
                <w:tcPr>
                  <w:tcW w:w="300" w:type="dxa"/>
                </w:tcPr>
                <w:p w14:paraId="7D7587A5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</w:tcPr>
                <w:p w14:paraId="20E1BE07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</w:tcPr>
                <w:p w14:paraId="0F43DA67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91E5C50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</w:tcPr>
                <w:p w14:paraId="5CC83A0F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86838DB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9125B" w14:paraId="587CE75F" w14:textId="77777777">
              <w:tc>
                <w:tcPr>
                  <w:tcW w:w="300" w:type="dxa"/>
                </w:tcPr>
                <w:p w14:paraId="0D930A30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5CFA98BF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</w:tcPr>
                <w:p w14:paraId="14C2B1E7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C2FAE95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</w:tcPr>
                <w:p w14:paraId="1C493E6E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40ECD38F" w14:textId="77777777" w:rsidR="0099125B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C4F9DC" w14:textId="77777777" w:rsidR="0099125B" w:rsidRDefault="0099125B"/>
        </w:tc>
      </w:tr>
    </w:tbl>
    <w:p w14:paraId="2D26B179" w14:textId="77777777" w:rsidR="0099125B" w:rsidRDefault="00000000">
      <w:r>
        <w:rPr>
          <w:sz w:val="22"/>
          <w:szCs w:val="22"/>
        </w:rPr>
        <w:t>Referința legală națională a desemnării ZPB:</w:t>
      </w:r>
    </w:p>
    <w:p w14:paraId="40733E15" w14:textId="77777777" w:rsidR="0099125B" w:rsidRDefault="0099125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</w:p>
    <w:p w14:paraId="20219548" w14:textId="77777777" w:rsidR="0099125B" w:rsidRDefault="0099125B"/>
    <w:p w14:paraId="4368A2FA" w14:textId="77777777" w:rsidR="0099125B" w:rsidRDefault="00000000">
      <w:pPr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20413706" w14:textId="77777777" w:rsidR="0099125B" w:rsidRDefault="00000000">
      <w:r>
        <w:rPr>
          <w:b/>
          <w:bCs/>
          <w:sz w:val="22"/>
          <w:szCs w:val="22"/>
        </w:rPr>
        <w:t>2.1. Suprafața totală a ZPB (ha)</w:t>
      </w:r>
    </w:p>
    <w:p w14:paraId="00E8B1BB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t xml:space="preserve">278,81</w:t>
      </w:r>
    </w:p>
    <w:p w14:paraId="79F71085" w14:textId="77777777" w:rsidR="0099125B" w:rsidRDefault="00000000">
      <w:r>
        <w:rPr>
          <w:b/>
          <w:bCs/>
          <w:sz w:val="22"/>
          <w:szCs w:val="22"/>
        </w:rPr>
        <w:lastRenderedPageBreak/>
        <w:t>2.2. Procentul ocupat de ZPB din suprafața totală a ariei naturale protejate</w:t>
      </w:r>
    </w:p>
    <w:p w14:paraId="1641CA5D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>13,51%</w:t>
      </w:r>
    </w:p>
    <w:p w14:paraId="74FCFD2A" w14:textId="77777777" w:rsidR="0099125B" w:rsidRDefault="00000000"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57"/>
        <w:gridCol w:w="443"/>
        <w:gridCol w:w="5380"/>
      </w:tblGrid>
      <w:tr w:rsidR="0099125B" w14:paraId="12958754" w14:textId="77777777">
        <w:tc>
          <w:tcPr>
            <w:tcW w:w="3157" w:type="dxa"/>
          </w:tcPr>
          <w:p w14:paraId="28893AFB" w14:textId="77777777" w:rsidR="0099125B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3" w:type="dxa"/>
          </w:tcPr>
          <w:p w14:paraId="33A87970" w14:textId="77777777" w:rsidR="0099125B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0" w:type="dxa"/>
          </w:tcPr>
          <w:p w14:paraId="614797C0" w14:textId="77777777" w:rsidR="0099125B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99125B" w14:paraId="1DDF29DB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6E8C" w14:textId="77777777" w:rsidR="0099125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3" w:type="dxa"/>
          </w:tcPr>
          <w:p w14:paraId="6D1E99D8" w14:textId="77777777" w:rsidR="0099125B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DB05" w14:textId="77777777" w:rsidR="0099125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155584A3" w14:textId="77777777" w:rsidR="0099125B" w:rsidRDefault="00000000">
      <w:r>
        <w:rPr>
          <w:sz w:val="22"/>
          <w:szCs w:val="22"/>
        </w:rPr>
        <w:t>Numele Județului/Județelor</w:t>
      </w:r>
    </w:p>
    <w:p w14:paraId="0CCE1F09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Brașov</w:t>
      </w:r>
    </w:p>
    <w:p w14:paraId="5A894A20" w14:textId="77777777" w:rsidR="0099125B" w:rsidRDefault="00000000"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30"/>
        <w:gridCol w:w="46"/>
        <w:gridCol w:w="3001"/>
        <w:gridCol w:w="47"/>
        <w:gridCol w:w="2956"/>
      </w:tblGrid>
      <w:tr w:rsidR="0099125B" w14:paraId="272DB651" w14:textId="77777777">
        <w:tc>
          <w:tcPr>
            <w:tcW w:w="2930" w:type="dxa"/>
          </w:tcPr>
          <w:p w14:paraId="5FED8DC2" w14:textId="77777777" w:rsidR="0099125B" w:rsidRDefault="00000000">
            <w:sdt>
              <w:sdtPr>
                <w:tag w:val="goog_rdk_3"/>
                <w:id w:val="260610074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6" w:type="dxa"/>
          </w:tcPr>
          <w:p w14:paraId="3764270A" w14:textId="77777777" w:rsidR="0099125B" w:rsidRDefault="0099125B"/>
        </w:tc>
        <w:tc>
          <w:tcPr>
            <w:tcW w:w="3001" w:type="dxa"/>
          </w:tcPr>
          <w:p w14:paraId="183A8320" w14:textId="77777777" w:rsidR="0099125B" w:rsidRDefault="00000000">
            <w:sdt>
              <w:sdtPr>
                <w:tag w:val="goog_rdk_4"/>
                <w:id w:val="10786121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17C529F6" w14:textId="77777777" w:rsidR="0099125B" w:rsidRDefault="0099125B"/>
        </w:tc>
        <w:tc>
          <w:tcPr>
            <w:tcW w:w="2956" w:type="dxa"/>
          </w:tcPr>
          <w:p w14:paraId="01E772DA" w14:textId="77777777" w:rsidR="0099125B" w:rsidRDefault="00000000">
            <w:sdt>
              <w:sdtPr>
                <w:tag w:val="goog_rdk_5"/>
                <w:id w:val="-160545057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99125B" w14:paraId="0846956B" w14:textId="77777777">
        <w:tc>
          <w:tcPr>
            <w:tcW w:w="2930" w:type="dxa"/>
          </w:tcPr>
          <w:p w14:paraId="1FB7FFD8" w14:textId="77777777" w:rsidR="0099125B" w:rsidRDefault="00000000">
            <w:sdt>
              <w:sdtPr>
                <w:tag w:val="goog_rdk_6"/>
                <w:id w:val="-767777654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6" w:type="dxa"/>
          </w:tcPr>
          <w:p w14:paraId="70DED7B5" w14:textId="77777777" w:rsidR="0099125B" w:rsidRDefault="0099125B"/>
        </w:tc>
        <w:tc>
          <w:tcPr>
            <w:tcW w:w="3001" w:type="dxa"/>
          </w:tcPr>
          <w:p w14:paraId="30063D94" w14:textId="77777777" w:rsidR="0099125B" w:rsidRDefault="00000000">
            <w:sdt>
              <w:sdtPr>
                <w:tag w:val="goog_rdk_7"/>
                <w:id w:val="651100154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7A75364C" w14:textId="77777777" w:rsidR="0099125B" w:rsidRDefault="0099125B"/>
        </w:tc>
        <w:tc>
          <w:tcPr>
            <w:tcW w:w="2956" w:type="dxa"/>
          </w:tcPr>
          <w:p w14:paraId="7DB0F226" w14:textId="77777777" w:rsidR="0099125B" w:rsidRDefault="00000000">
            <w:sdt>
              <w:sdtPr>
                <w:tag w:val="goog_rdk_8"/>
                <w:id w:val="-95747056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16DED5DB" w14:textId="77777777" w:rsidR="0099125B" w:rsidRDefault="0099125B"/>
    <w:p w14:paraId="7DBEFDEF" w14:textId="77777777" w:rsidR="0099125B" w:rsidRDefault="00000000">
      <w:pPr>
        <w:jc w:val="center"/>
      </w:pPr>
      <w:r>
        <w:rPr>
          <w:b/>
          <w:bCs/>
          <w:sz w:val="22"/>
          <w:szCs w:val="22"/>
        </w:rPr>
        <w:t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2320AFB0" w14:textId="77777777" w:rsidR="0099125B" w:rsidRDefault="00000000"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3800C223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</w:p>
    <w:p w14:paraId="10249255" w14:textId="77777777" w:rsidR="0099125B" w:rsidRDefault="00000000">
      <w:r>
        <w:rPr>
          <w:b/>
          <w:bCs/>
          <w:sz w:val="22"/>
          <w:szCs w:val="22"/>
        </w:rPr>
        <w:t>3.2. Descrierea Zonelor Prioritare pentru Biodiversitate distincte</w:t>
      </w:r>
    </w:p>
    <w:p w14:paraId="660E83A5" w14:textId="77777777" w:rsidR="0099125B" w:rsidRDefault="00000000">
      <w:r>
        <w:rPr>
          <w:b/>
          <w:bCs/>
          <w:sz w:val="22"/>
          <w:szCs w:val="22"/>
        </w:rPr>
        <w:t>3.2.1. Zona Prioritară pentru Biodiversitate nr. 1</w:t>
      </w:r>
    </w:p>
    <w:p w14:paraId="55DD36B1" w14:textId="77777777" w:rsidR="0099125B" w:rsidRDefault="00000000">
      <w:r>
        <w:rPr>
          <w:b/>
          <w:bCs/>
          <w:sz w:val="22"/>
          <w:szCs w:val="22"/>
        </w:rPr>
        <w:t>3.2.1.1. Cod Zona Prioritară pentru Biodiversitate nr. 1</w:t>
      </w:r>
    </w:p>
    <w:p w14:paraId="228817C4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ZPB1</w:t>
      </w:r>
    </w:p>
    <w:p w14:paraId="5A049085" w14:textId="77777777" w:rsidR="0099125B" w:rsidRDefault="00000000">
      <w:r>
        <w:rPr>
          <w:b/>
          <w:bCs/>
          <w:sz w:val="22"/>
          <w:szCs w:val="22"/>
        </w:rPr>
        <w:t>3.2.1.2.  Detalii privind Zona Prioritară pentru Biodiversitate nr. 1</w:t>
      </w:r>
    </w:p>
    <w:p w14:paraId="7C2921BE" w14:textId="77777777" w:rsidR="0099125B" w:rsidRDefault="00000000">
      <w:r>
        <w:rPr>
          <w:sz w:val="22"/>
          <w:szCs w:val="22"/>
        </w:rPr>
        <w:t>Suprafața totală a ZPB (ha)</w:t>
      </w:r>
    </w:p>
    <w:p w14:paraId="510077A6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t xml:space="preserve">278,81</w:t>
      </w:r>
    </w:p>
    <w:p w14:paraId="19FAFE70" w14:textId="77777777" w:rsidR="0099125B" w:rsidRDefault="00000000">
      <w:r>
        <w:rPr>
          <w:sz w:val="22"/>
          <w:szCs w:val="22"/>
        </w:rPr>
        <w:t>Documente relevante în raport cu ZPB</w:t>
      </w:r>
    </w:p>
    <w:p w14:paraId="4CFFCE14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(*actualizată) privind aprobarea Planului de amenajare a teritoriului național - Secțiunea a III-a - zone protejate, cu modificările și completările ulterioare - Monumentul naturii RONPA0260 Cheile Dopca.</w:t>
      </w:r>
    </w:p>
    <w:p w14:paraId="0C91A25F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14:paraId="4A0EC677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</w:t>
      </w:r>
    </w:p>
    <w:p w14:paraId="33E0A6A9" w14:textId="77777777" w:rsidR="0099125B" w:rsidRDefault="0099125B">
      <w:pPr>
        <w:rPr>
          <w:sz w:val="22"/>
          <w:szCs w:val="22"/>
        </w:rPr>
      </w:pPr>
    </w:p>
    <w:p w14:paraId="4C667CA8" w14:textId="77777777" w:rsidR="0099125B" w:rsidRDefault="0099125B">
      <w:pPr>
        <w:rPr>
          <w:sz w:val="22"/>
          <w:szCs w:val="22"/>
        </w:rPr>
      </w:pPr>
    </w:p>
    <w:p w14:paraId="31DA9F6F" w14:textId="77777777" w:rsidR="00761F10" w:rsidRDefault="00761F10">
      <w:pPr>
        <w:rPr>
          <w:sz w:val="22"/>
          <w:szCs w:val="22"/>
        </w:rPr>
      </w:pPr>
    </w:p>
    <w:p w14:paraId="12C91C04" w14:textId="77777777" w:rsidR="0099125B" w:rsidRDefault="00000000"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63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497"/>
        <w:gridCol w:w="4466"/>
      </w:tblGrid>
      <w:tr w:rsidR="0099125B" w14:paraId="5F040AB1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76E8" w14:textId="77777777" w:rsidR="0099125B" w:rsidRDefault="00000000"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77A1" w14:textId="77777777" w:rsidR="0099125B" w:rsidRDefault="00000000"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99125B" w14:paraId="75356A5A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B12C6" w14:textId="77777777" w:rsidR="0099125B" w:rsidRDefault="00000000"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140A" w14:textId="77777777" w:rsidR="0099125B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pajiști umede seminaturale cu ierburi înalte:</w:t>
            </w:r>
          </w:p>
          <w:p w14:paraId="0A89A2DF" w14:textId="77777777" w:rsidR="0099125B" w:rsidRDefault="00000000">
            <w:pPr>
              <w:spacing w:after="0" w:line="240" w:lineRule="auto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6430 Comunități de lizieră cu ierburi înalte higrofile de la câmpie și din etajul montan până în cel alpin </w:t>
            </w:r>
          </w:p>
          <w:p w14:paraId="5D39F351" w14:textId="77777777" w:rsidR="0099125B" w:rsidRDefault="0000000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pajiști mezofile:</w:t>
            </w:r>
          </w:p>
          <w:p w14:paraId="13384E02" w14:textId="77777777" w:rsidR="0099125B" w:rsidRDefault="00000000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6520 Fânețe montane</w:t>
            </w:r>
          </w:p>
          <w:p w14:paraId="7215658F" w14:textId="77777777" w:rsidR="0099125B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Habitate de păduri temperate europene: </w:t>
            </w:r>
          </w:p>
          <w:p w14:paraId="39E6200D" w14:textId="77777777" w:rsidR="0099125B" w:rsidRDefault="00000000">
            <w:pPr>
              <w:spacing w:after="0" w:line="240" w:lineRule="auto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91V0 Păduri dacice de fag (Symphyto-Fagion) </w:t>
            </w:r>
          </w:p>
          <w:p w14:paraId="4C686B5D" w14:textId="77777777" w:rsidR="0099125B" w:rsidRDefault="00000000">
            <w:pPr>
              <w:spacing w:after="0" w:line="240" w:lineRule="auto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9110 Păduri de fag de tip Luzulo-Fagetum</w:t>
            </w:r>
          </w:p>
          <w:p w14:paraId="5CEBA40D" w14:textId="77777777" w:rsidR="0099125B" w:rsidRDefault="00000000">
            <w:pPr>
              <w:spacing w:after="0" w:line="240" w:lineRule="auto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9150 Păduri medio-europene de fag din Cephalanthero-Fagion pe substrate calcaroase</w:t>
            </w:r>
          </w:p>
          <w:p w14:paraId="57017BAF" w14:textId="77777777" w:rsidR="0099125B" w:rsidRDefault="00000000">
            <w:pPr>
              <w:spacing w:after="0" w:line="240" w:lineRule="auto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9130 Păduri de fag de tip Asperulo-Fagetum </w:t>
            </w:r>
          </w:p>
          <w:p w14:paraId="6EF2D72A" w14:textId="77777777" w:rsidR="0099125B" w:rsidRDefault="00000000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9170 Păduri de stejar cu carpen de tip Galio-Carpinetum </w:t>
            </w:r>
          </w:p>
        </w:tc>
      </w:tr>
      <w:tr w:rsidR="0099125B" w14:paraId="7065BFBA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E07E4" w14:textId="77777777" w:rsidR="0099125B" w:rsidRDefault="00000000">
            <w:r>
              <w:rPr>
                <w:sz w:val="22"/>
                <w:szCs w:val="22"/>
              </w:rPr>
              <w:t>Specii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7FC8" w14:textId="77777777" w:rsidR="0099125B" w:rsidRDefault="0000000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Plante:</w:t>
            </w:r>
          </w:p>
          <w:p w14:paraId="6D500035" w14:textId="77777777" w:rsidR="0099125B" w:rsidRDefault="00000000">
            <w:pPr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Crocus banaticus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Orchis coriophora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Orchis morio</w:t>
            </w:r>
          </w:p>
          <w:p w14:paraId="3124E877" w14:textId="77777777" w:rsidR="0099125B" w:rsidRDefault="0000000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Chiroptere:</w:t>
            </w:r>
          </w:p>
          <w:p w14:paraId="6FF6F6C4" w14:textId="77777777" w:rsidR="0099125B" w:rsidRDefault="0000000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1308 Barbastella barbastellus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1327 Eptesicus serotinus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1323 Myotis bechsteinii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1320 Myotis brandtii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1314 Myotis daubentonii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1324 Myotis myotis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1330 Myotis mystacinus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1322 Myotis nattereri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1312 Nyctalus noctula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1309 Pipistrellus pipistrellus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5009 Pipistrellus pygmaeus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1326 Plecotus auritus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1304 Rhinolophus ferrumequinum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1303 Rhinolophus hipposideros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  <w:sz w:val="22"/>
                <w:szCs w:val="22"/>
              </w:rPr>
              <w:t>1332 Vespertilio murinus</w:t>
            </w:r>
          </w:p>
        </w:tc>
      </w:tr>
      <w:tr w:rsidR="0099125B" w14:paraId="293182C5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2C99" w14:textId="77777777" w:rsidR="0099125B" w:rsidRDefault="00000000"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9DF4" w14:textId="77777777" w:rsidR="0099125B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43A89892" w14:textId="77777777" w:rsidR="0099125B" w:rsidRDefault="00000000">
            <w:pPr>
              <w:jc w:val="both"/>
            </w:pPr>
            <w:r>
              <w:rPr>
                <w:sz w:val="22"/>
                <w:szCs w:val="22"/>
              </w:rPr>
              <w:t xml:space="preserve">Valoarea ecologică a zonei este susținută de existența unor condiții favorabile pentru numeroase specii de interes conservativ </w:t>
            </w:r>
            <w:r>
              <w:rPr>
                <w:sz w:val="22"/>
                <w:szCs w:val="22"/>
              </w:rPr>
              <w:lastRenderedPageBreak/>
              <w:t>asociate pădurilor mature și ecosistemelor forestiere bine conservate.</w:t>
            </w:r>
          </w:p>
          <w:p w14:paraId="35F1E757" w14:textId="77777777" w:rsidR="0099125B" w:rsidRDefault="00000000">
            <w:pPr>
              <w:jc w:val="both"/>
            </w:pPr>
            <w:r>
              <w:rPr>
                <w:sz w:val="22"/>
                <w:szCs w:val="22"/>
              </w:rPr>
              <w:t>Zona include pajiști semi-naturale cu rol important în menținerea diversității biologice și a conectivității ecologice la nivel local. Aceste ecosisteme susțin comunități floristice și faunistice valoroase și contribuie la conservarea peisajelor tradiționale.</w:t>
            </w:r>
          </w:p>
          <w:p w14:paraId="1C44C754" w14:textId="77777777" w:rsidR="0099125B" w:rsidRDefault="00000000">
            <w:pPr>
              <w:jc w:val="both"/>
            </w:pPr>
            <w:r>
              <w:rPr>
                <w:sz w:val="22"/>
                <w:szCs w:val="22"/>
              </w:rPr>
              <w:t>Zona include habitate umede cu valoare conservativă ridicată, caracterizate prin condiții hidrologice favorabile și prin rolul acestora în susținerea biodiversității asociate ecosistemelor de tranziție dintre mediul terestru și cel acvatic.</w:t>
            </w:r>
          </w:p>
          <w:p w14:paraId="159FA960" w14:textId="77777777" w:rsidR="0099125B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monumente ale naturii, precum și pe valoarea conservativă ridicată a ecosistemelor forestiere prezente.</w:t>
            </w:r>
          </w:p>
        </w:tc>
      </w:tr>
      <w:tr w:rsidR="0099125B" w14:paraId="42CE82B5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9090" w14:textId="77777777" w:rsidR="0099125B" w:rsidRDefault="00000000">
            <w:r>
              <w:rPr>
                <w:sz w:val="22"/>
                <w:szCs w:val="22"/>
              </w:rPr>
              <w:lastRenderedPageBreak/>
              <w:t>Presiuni semnificative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CBB7" w14:textId="77777777" w:rsidR="0099125B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A04 Pășunatul</w:t>
            </w:r>
          </w:p>
          <w:p w14:paraId="7633F86E" w14:textId="77777777" w:rsidR="0099125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B01.02 Plantare artificială, pe teren deschis (copaci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  <w:r>
              <w:br/>
            </w:r>
            <w:r>
              <w:rPr>
                <w:sz w:val="22"/>
                <w:szCs w:val="22"/>
              </w:rPr>
              <w:t>I02 Specii native (indigene) problematice</w:t>
            </w:r>
          </w:p>
        </w:tc>
      </w:tr>
      <w:tr w:rsidR="0099125B" w14:paraId="2070F026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1F37" w14:textId="77777777" w:rsidR="0099125B" w:rsidRDefault="00000000"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4DA4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7C555C9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71CE597B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144BC64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3A02A913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131D0D7B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5C9AD76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3B46CC0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4. Limitarea deranjului produs de activitățile umane — acces motorizat, turism necontrolat și recoltări neautorizate.</w:t>
            </w:r>
          </w:p>
          <w:p w14:paraId="260E368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0A4EE144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0F24A9B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0C8FE4A5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07433788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38B6089D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3A754F5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</w:t>
            </w:r>
            <w:r>
              <w:rPr>
                <w:sz w:val="22"/>
                <w:szCs w:val="22"/>
              </w:rPr>
              <w:t>.</w:t>
            </w:r>
          </w:p>
          <w:p w14:paraId="4170BFED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management activ pentru habitatele forestiere altele decât T1</w:t>
            </w:r>
          </w:p>
          <w:p w14:paraId="1D7FB75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47A9996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Menținerea și îmbunătățirea stării de conservare a ecosistemelor forestiere prin monitorizare, controlul presiunilor și aplicarea unor măsuri active de conservare și restaurare </w:t>
            </w:r>
            <w:r w:rsidRPr="00F33589">
              <w:rPr>
                <w:sz w:val="22"/>
                <w:szCs w:val="22"/>
              </w:rPr>
              <w:lastRenderedPageBreak/>
              <w:t>ecologică, adaptate structurii arboretelor și cerințelor ecologice ale habitatelor și speciilor de interes conservativ, fără scop productiv.</w:t>
            </w:r>
          </w:p>
          <w:p w14:paraId="506F474E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580F6655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și ameliorarea biodiversității arboretelor (structură, compoziție, microhabitate).</w:t>
            </w:r>
          </w:p>
          <w:p w14:paraId="61D5B36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Îmbunătățirea compoziției și structurii arboretelor către o configurație mai apropiată de naturalitate.</w:t>
            </w:r>
          </w:p>
          <w:p w14:paraId="5E505F2B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Creșterea stabilității și rezistenței ecosistemelor forestiere la factori vătămători biotici și abiotici.</w:t>
            </w:r>
          </w:p>
          <w:p w14:paraId="4C5FCBE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Menținerea regenerării naturale și a continuității habitatelor forestiere.</w:t>
            </w:r>
          </w:p>
          <w:p w14:paraId="121E9AF0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Reducerea fragmentării habitatelor și limitarea presiunilor antropice.</w:t>
            </w:r>
          </w:p>
          <w:p w14:paraId="3B2AB53E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Monitorizarea stării de conservare și aplicarea managementului adaptativ.</w:t>
            </w:r>
          </w:p>
          <w:p w14:paraId="7077CD0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3F00BC7D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Intervențiile se aplică exclusiv atunci când există o justificare de conservare, pentru refacerea compoziției habitatului, susținerea regenerării naturale, reducerea riscului de degradare a stării de conservare sau menținerea integrității și funcționalității ecosistemului forestier.</w:t>
            </w:r>
          </w:p>
          <w:p w14:paraId="1A4BDD81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În arboretele trecute de vârsta exploatabilității tehnice, care necesită măsuri de conservare, lucrările speciale de conservare nu depășesc un procent de extragere de 5% din volumul total pe picior al arboretului pe perioada de aplicare a amenajamentului silvic, cu excepția arboretelor de salcâm, a zăvoaielor de plopi și sălcii și a arboretelor de plop euramerican.</w:t>
            </w:r>
          </w:p>
          <w:p w14:paraId="6B7D6C63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Aplicarea lucrărilor speciale de conservare urmărește favorizarea regenerării naturale, crearea unor nuclee de regenerare noi și susținerea dezvoltării semințișurilor deja instalate, în special pentru speciile forestiere exigente față de lumină.</w:t>
            </w:r>
          </w:p>
          <w:p w14:paraId="45B3F99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4. Promovarea nucleelor existente de regenerare naturală din specii valoroase se realizează prin extracții cu intensitate redusă, astfel încât suprafața nucleelor de regenerare să nu depășească 500–600 m².</w:t>
            </w:r>
          </w:p>
          <w:p w14:paraId="247AF7C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Sunt permise lucrări de împăduriri, reîmpăduriri și completare a regenerării naturale, utilizând specii autohtone și proveniențe locale adaptate condițiilor staționale.</w:t>
            </w:r>
          </w:p>
          <w:p w14:paraId="247AF7C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6. Sunt permise lucrări de îngrijire a culturilor și semințișurilor până la realizarea stării de masiv, precum și lucrări de îngrijire și conducere a arboretelor din categoria degajărilor, depresajului și curățirilor, fără rărituri.</w:t>
            </w:r>
          </w:p>
          <w:p w14:paraId="1C80C35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 w:rsidRPr="00F33589">
              <w:rPr>
                <w:sz w:val="22"/>
                <w:szCs w:val="22"/>
              </w:rPr>
              <w:t>. Sunt permise lucrări de reconstrucție ecologică în suprafețele afectate de perturbări biotice sau abiotice, urmărindu-se refacerea structurii și funcționalității habitatului forestier.</w:t>
            </w:r>
          </w:p>
          <w:p w14:paraId="12D3D5D4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 w:rsidRPr="00F33589">
              <w:rPr>
                <w:sz w:val="22"/>
                <w:szCs w:val="22"/>
              </w:rPr>
              <w:t>. În arboretele afectate de factori biotici sau abiotici, intensitatea intervențiilor se adaptează stării de conservare a arboretului și restricțiilor prevăzute în planurile de management aplicabile, evitându-se îndepărtarea totală a arboretului afectat și menținându-se pe cât posibil acoperirea forestieră.</w:t>
            </w:r>
          </w:p>
          <w:p w14:paraId="63BECFF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 w:rsidRPr="00F33589">
              <w:rPr>
                <w:sz w:val="22"/>
                <w:szCs w:val="22"/>
              </w:rPr>
              <w:t>. Extragerile de arbori urmăresc cu prioritate menținerea valorilor de conservare, reducerea riscurilor pentru siguranța publică și păstrarea integrității și funcționalității ecosistemului forestier.</w:t>
            </w:r>
          </w:p>
          <w:p w14:paraId="2A3D78D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 w:rsidRPr="00F33589">
              <w:rPr>
                <w:sz w:val="22"/>
                <w:szCs w:val="22"/>
              </w:rPr>
              <w:t>. Refacerea arboretelor afectate se realizează prin regenerare naturală sau, după caz, prin reconstrucție ecologică și regenerare artificială utilizând specii și proveniențe locale mai rezistente la secetă și alte perturbări abiotice.</w:t>
            </w:r>
          </w:p>
          <w:p w14:paraId="1352CEB1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mențin arborii bătrâni, arborii-habitat și lemnul mort, atât pe picior cât și la sol, ca elemente esențiale pentru biodiversitate și funcționarea ecosistemelor forestiere.</w:t>
            </w:r>
          </w:p>
          <w:p w14:paraId="6AD0214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Măsurile pentru combaterea dăunătorilor forestieri sau a speciilor invazive se aplică doar atunci când există un risc major documentat pentru valorile de conservare și cu respectarea prevederilor legale aplicabile.</w:t>
            </w:r>
          </w:p>
          <w:p w14:paraId="4D9AB8B4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13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 xml:space="preserve">. Intervențiile utilizează metode și tehnologii cu impact redus asupra solului și habitatelor </w:t>
            </w:r>
            <w:r w:rsidRPr="00F33589">
              <w:rPr>
                <w:sz w:val="22"/>
                <w:szCs w:val="22"/>
              </w:rPr>
              <w:lastRenderedPageBreak/>
              <w:t>forestiere și evită perioadele cu umiditate excesivă a solului.</w:t>
            </w:r>
          </w:p>
          <w:p w14:paraId="43ACA589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Materialul lemnos rezultat incidental din măsurile de conservare sau din intervențiile necesare pentru siguranță publică nu reprezintă un obiectiv economic și nu justifică intensificarea intervențiilor.</w:t>
            </w:r>
          </w:p>
          <w:p w14:paraId="515751E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15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limitează realizarea de infrastructuri noi și extinderea infrastructurii existente care pot conduce la fragmentarea habitatelor forestiere.</w:t>
            </w:r>
          </w:p>
          <w:p w14:paraId="1DEF1D83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Accesul motorizat se limitează strict la situațiile necesare pentru activitățile de conservare, monitorizare și intervențiile permise conform legislației.</w:t>
            </w:r>
          </w:p>
          <w:p w14:paraId="794BDC5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17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Lucrările silviculturale și intervențiile de conservare se execută numai în condițiile stabilite de administratorii ariilor naturale protejate și cu respectarea obiectivelor de conservare ale zonei prioritare pentru biodiversitate.</w:t>
            </w:r>
          </w:p>
          <w:p w14:paraId="6E50E6D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18</w:t>
            </w:r>
            <w:r>
              <w:rPr>
                <w:sz w:val="22"/>
                <w:szCs w:val="22"/>
              </w:rPr>
              <w:t xml:space="preserve"/>
            </w:r>
            <w:r w:rsidRPr="00F33589">
              <w:rPr>
                <w:sz w:val="22"/>
                <w:szCs w:val="22"/>
              </w:rPr>
              <w:t>. Se monitorizează periodic structura arboretelor, regenerarea naturală, speciile indicator și presiunile antropice, iar măsurile de conservare se adaptează în funcție de rezultatele monitorizării.</w:t>
            </w:r>
          </w:p>
          <w:p w14:paraId="661F21C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 xml:space="preserve">Obiective și măsuri de management activ pentru ecosistemele de pajiști </w:t>
            </w:r>
          </w:p>
          <w:p w14:paraId="536032A0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2C8301B6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Menținerea pe termen lung a funcțiilor ecosistemelor de pajiști seminaturale prin menținerea habitatelor deschise și a diversității floristice și faunistice, utilizând un management extensiv adaptat condițiilor locale, care evită atât abandonul, cât și intensificarea utilizării.</w:t>
            </w:r>
          </w:p>
          <w:p w14:paraId="38E577F0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5636FD5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Menținerea suprafețelor de pajiști și prevenirea abandonului sau conversiei către alte categorii de folosință.</w:t>
            </w:r>
          </w:p>
          <w:p w14:paraId="16A1D391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unei structuri mozaicate favorabile biodiversității.</w:t>
            </w:r>
          </w:p>
          <w:p w14:paraId="593E16CC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3.Evitarea degradării habitatelor prin suprapășunat, subpășunat, compactarea solului și eroziune.</w:t>
            </w:r>
          </w:p>
          <w:p w14:paraId="3DFD87F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utilizării substanțelor chimice și prevenirea eutrofizării habitatelor.</w:t>
            </w:r>
          </w:p>
          <w:p w14:paraId="42570D1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Controlul speciilor invazive și limitarea instalării vegetației lemnoase.</w:t>
            </w:r>
          </w:p>
          <w:p w14:paraId="209E01D3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Monitorizarea utilizării habitatelor și adaptarea managementului în funcție de rezultate.</w:t>
            </w:r>
          </w:p>
          <w:p w14:paraId="68B8C6A7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13A9EE0E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Fiecare suprafață de pajiște trebuie să beneficieze anual de cel puțin o activitate minimă de management extensiv (cosit, pășunat sau sistem mixt), necesară pentru menținerea habitatului deschis și evitarea instalării vegetației lemnoase.</w:t>
            </w:r>
          </w:p>
          <w:p w14:paraId="791E4C73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Cositul se realizează astfel încât speciile de interes conservativ să poată forma semințe înaintea intervenției, evitându-se cosirea „în ras" și menținându-se o înălțime de recoltare compatibilă cu regenerarea covorului vegetal.</w:t>
            </w:r>
          </w:p>
          <w:p w14:paraId="1A67CEEA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În zonele montane și premontane, prima cosire se realizează numai după formarea semințelor la speciile de interes conservativ.</w:t>
            </w:r>
          </w:p>
          <w:p w14:paraId="1B79B9A8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4. Cosirea se realizează astfel încât să permită retragerea faunei, menținându-se anual suprafețe-refugiu necosite temporar.</w:t>
            </w:r>
          </w:p>
          <w:p w14:paraId="27D422EC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5. În zonele sensibile lucrările de cosit se realizează cu metode prin care se evită compactarea solului și degradarea microreliefului.</w:t>
            </w:r>
          </w:p>
          <w:p w14:paraId="104C76C1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Pășunatul se realizează exclusiv în regim controlat și extensiv, cu adaptarea încărcăturii animale și a perioadelor de utilizare la capacitatea de suport a habitatului și la obiectivele de conservare.</w:t>
            </w:r>
          </w:p>
          <w:p w14:paraId="6074745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7. Începerea pășunatului se realizează numai după instalarea creșterii active a vegetației și după retragerea excesului de umiditate din sol, pentru evitarea degradării covorului vegetal și a compactării solului.</w:t>
            </w:r>
          </w:p>
          <w:p w14:paraId="6EA14B6F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8. Pășunatul se întrerupe astfel încât vegetația să dispună de timp suficient pentru refacerea masei vegetative și acumularea rezervelor înaintea sezonului rece.</w:t>
            </w:r>
          </w:p>
          <w:p w14:paraId="3CD7C2E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F33589">
              <w:rPr>
                <w:sz w:val="22"/>
                <w:szCs w:val="22"/>
              </w:rPr>
              <w:t xml:space="preserve">. Utilizarea fertilizanților chimici și a pesticidelor se realizează în conformitate cu legislația națională în domeniu. Aratul și supraînsămânțarea cu specii alohtone sunt interzise.</w:t>
            </w:r>
          </w:p>
          <w:p w14:paraId="3C5C1EC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F33589">
              <w:rPr>
                <w:sz w:val="22"/>
                <w:szCs w:val="22"/>
              </w:rPr>
              <w:t xml:space="preserve">. Este recomandată fertilizarea organică tradițională, în cantități moderate și compatibile cu menținerea diversității floristice și a structurii habitatului.</w:t>
            </w:r>
          </w:p>
          <w:p w14:paraId="3514DD55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F33589">
              <w:rPr>
                <w:sz w:val="22"/>
                <w:szCs w:val="22"/>
              </w:rPr>
              <w:t>. Târlitul se realizează controlat și cu schimbarea periodică a amplasamentelor, evitându-se apariția suprafețelor nitrofile și degradarea habitatului.</w:t>
            </w:r>
          </w:p>
          <w:p w14:paraId="7C7BCC15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F33589">
              <w:rPr>
                <w:sz w:val="22"/>
                <w:szCs w:val="22"/>
              </w:rPr>
              <w:t>. Vegetația lemnoasă invadantă se îndepărtează selectiv și periodic, menținându-se elementele cu rol ecologic, antierozional sau de refugiu pentru specii.</w:t>
            </w:r>
          </w:p>
          <w:p w14:paraId="34514966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33589">
              <w:rPr>
                <w:sz w:val="22"/>
                <w:szCs w:val="22"/>
              </w:rPr>
              <w:t>. Speciile invazive se monitorizează și se controlează prin metode mecanice și măsuri cu impact redus asupra habitatelor naturale.</w:t>
            </w:r>
          </w:p>
          <w:p w14:paraId="2D79ACFE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F33589">
              <w:rPr>
                <w:sz w:val="22"/>
                <w:szCs w:val="22"/>
              </w:rPr>
              <w:t>. În zonele afectate de degradări locale ale microreliefului se pot aplica măsuri cu impact redus pentru corectarea acestora și refacerea covorului vegetal cu specii caracteristice habitatului.</w:t>
            </w:r>
          </w:p>
          <w:p w14:paraId="2FEE4512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33589">
              <w:rPr>
                <w:sz w:val="22"/>
                <w:szCs w:val="22"/>
              </w:rPr>
              <w:t>. Se mențin structurile de habitat favorabile biodiversității, inclusiv tufărișurile dispersate, arborii izolați, gardurile vii și zonele de ecoton.</w:t>
            </w:r>
          </w:p>
          <w:p w14:paraId="62DC913D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33589">
              <w:rPr>
                <w:sz w:val="22"/>
                <w:szCs w:val="22"/>
              </w:rPr>
              <w:t>. Activitățile turistice și recreative se desfășoară fără afectarea habitatelor și a speciilor de interes conservativ.</w:t>
            </w:r>
          </w:p>
          <w:p w14:paraId="42BCB8DC" w14:textId="77777777" w:rsidR="00761F10" w:rsidRPr="00F33589" w:rsidRDefault="00761F10" w:rsidP="00761F10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33589">
              <w:rPr>
                <w:sz w:val="22"/>
                <w:szCs w:val="22"/>
              </w:rPr>
              <w:t>. Se monitorizează periodic starea habitatelor, utilizarea terenurilor, prezența speciilor invazive și efectele managementului, iar măsurile de conservare se adaptează în funcție de rezultatele monitorizării.</w:t>
            </w:r>
          </w:p>
          <w:p w14:paraId="320FBA75" w14:textId="7AA419FE" w:rsidR="0099125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În conformitate cu prevederile OM 1066/2026 privind Metodologia de identificare a zonelor prioritare pentru biodiversitate, sunt permise intervenții în caz de urgență și intervenții în perioadele normale, pentru intervenții de mentenanță și interes public (infrastructură </w:t>
            </w:r>
            <w:r>
              <w:rPr>
                <w:sz w:val="22"/>
                <w:szCs w:val="22"/>
              </w:rPr>
              <w:lastRenderedPageBreak/>
              <w:t>existentă), conform punctelor 1.3.3 și respectiv 1.3.4.</w:t>
            </w:r>
          </w:p>
        </w:tc>
      </w:tr>
      <w:tr w:rsidR="0099125B" w14:paraId="031D35F8" w14:textId="77777777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ACE2" w14:textId="77777777" w:rsidR="0099125B" w:rsidRDefault="00000000"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A3418" w14:textId="77777777" w:rsidR="0099125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și privată</w:t>
            </w:r>
          </w:p>
        </w:tc>
      </w:tr>
    </w:tbl>
    <w:p w14:paraId="12AC15E2" w14:textId="77777777" w:rsidR="0099125B" w:rsidRDefault="0099125B"/>
    <w:p w14:paraId="6ED027B6" w14:textId="77777777" w:rsidR="0099125B" w:rsidRDefault="00000000">
      <w:r>
        <w:rPr>
          <w:b/>
          <w:bCs/>
          <w:sz w:val="22"/>
          <w:szCs w:val="22"/>
        </w:rPr>
        <w:t xml:space="preserve">3.3. Bibliografie </w:t>
      </w:r>
    </w:p>
    <w:p w14:paraId="42907331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Bleahu, M., Marinescu, F. și Brădescu, V. (1976) Rezervații naturale geologice din România. București: Editura Tehnică.</w:t>
      </w:r>
    </w:p>
    <w:p w14:paraId="3AA0053A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Bleahu, M.D. (2004) Arca lui Noe în secolul XXI. Ariile protejate și protecția naturii. București: Editura Național.</w:t>
      </w:r>
    </w:p>
    <w:p w14:paraId="27F56786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Mohan, G., Ardeleanu, A. și Georgescu, M. (1993) Rezervații și monumente ale naturii din România. București: Editura Scaiul.</w:t>
      </w:r>
    </w:p>
    <w:p w14:paraId="0C915746" w14:textId="77777777" w:rsidR="0099125B" w:rsidRDefault="0099125B"/>
    <w:p w14:paraId="3ECDD8DE" w14:textId="77777777" w:rsidR="0099125B" w:rsidRDefault="00000000">
      <w:pPr>
        <w:jc w:val="center"/>
      </w:pPr>
      <w:r>
        <w:rPr>
          <w:b/>
          <w:bCs/>
          <w:sz w:val="22"/>
          <w:szCs w:val="22"/>
        </w:rPr>
        <w:t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7A059E94" w14:textId="77777777" w:rsidR="0099125B" w:rsidRDefault="00000000">
      <w:r>
        <w:rPr>
          <w:sz w:val="22"/>
          <w:szCs w:val="22"/>
        </w:rPr>
        <w:t>Detalii privind consultările publice realizate:</w:t>
      </w:r>
    </w:p>
    <w:p w14:paraId="44A17D1D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40" w:lineRule="auto"/>
        <w:rPr>
          <w:color w:val="000000"/>
          <w:sz w:val="22"/>
          <w:szCs w:val="22"/>
        </w:rPr>
      </w:pPr>
      <w:bookmarkStart w:id="0" w:name="_heading=h.sknzc0duasv7" w:colFirst="0" w:colLast="0"/>
      <w:bookmarkEnd w:id="0"/>
      <w:r>
        <w:rPr>
          <w:color w:val="000000"/>
          <w:sz w:val="22"/>
          <w:szCs w:val="22"/>
        </w:rPr>
        <w:t>Consultări publice realizate: 26 septembrie 2024 - Brașov, 23 mai 2025 - DS Brașov, 16-18 februarie 2026 - consultare Prefectură Brașov.</w:t>
      </w:r>
    </w:p>
    <w:p w14:paraId="0249AA5D" w14:textId="77777777" w:rsidR="0099125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 lângă aceste consultări, au fost organizate și sesiuni de consultare online sau în format hibrid la nivel județean, desfășurate în data de 11 decembrie 2025, cu participarea reprezentanților unităților administrativ-teritoriale, ai prefecturilor și/sau ai altor instituții relevante, după caz.</w:t>
      </w:r>
    </w:p>
    <w:p w14:paraId="5F1969AE" w14:textId="77777777" w:rsidR="0099125B" w:rsidRDefault="0099125B"/>
    <w:p w14:paraId="6CF82562" w14:textId="77777777" w:rsidR="0099125B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06BF0409" w14:textId="77777777" w:rsidR="0099125B" w:rsidRDefault="00000000">
      <w:pPr>
        <w:jc w:val="both"/>
        <w:rPr>
          <w:sz w:val="22"/>
          <w:szCs w:val="22"/>
        </w:rPr>
      </w:pPr>
      <w:bookmarkStart w:id="1" w:name="_heading=h.gzok4mj6vx3" w:colFirst="0" w:colLast="0"/>
      <w:bookmarkEnd w:id="1"/>
      <w:r>
        <w:rPr>
          <w:sz w:val="22"/>
          <w:szCs w:val="22"/>
        </w:rPr>
        <w:t xml:space="preserve">Limitele Zonelor Prioritare pentru Biodiversitate sunt disponibile în format digital pe website-ul MMAP, accesând link-ul: </w:t>
      </w:r>
      <w:hyperlink r:id="rId5">
        <w:r>
          <w:rPr>
            <w:color w:val="0563C1"/>
            <w:sz w:val="22"/>
            <w:szCs w:val="22"/>
            <w:u w:val="single"/>
          </w:rPr>
          <w:t>https://mmediu.ro/domenii/mediu/arii-naturale-protejate/zpb-pnrr-i-3/</w:t>
        </w:r>
      </w:hyperlink>
      <w:r>
        <w:rPr>
          <w:sz w:val="22"/>
          <w:szCs w:val="22"/>
        </w:rPr>
        <w:t xml:space="preserve"> </w:t>
      </w:r>
    </w:p>
    <w:sectPr w:rsidR="0099125B">
      <w:pgSz w:w="11870" w:h="16787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25B"/>
    <w:rsid w:val="00761F10"/>
    <w:rsid w:val="0099125B"/>
    <w:rsid w:val="00C7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A3B62"/>
  <w15:docId w15:val="{82F11478-C973-4692-9421-ECF5B9D1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6IYHoIIJedRtQlHkHDpyAipFE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tuemMwZHVhc3Y3Mg1oLmd6b2s0bWo2dngzOAByITE5OXROU3BuUlUyV2d5eVluTmtoYXBpYmlyVlhzR00z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2657</Words>
  <Characters>15145</Characters>
  <Application>Microsoft Office Word</Application>
  <DocSecurity>0</DocSecurity>
  <Lines>126</Lines>
  <Paragraphs>35</Paragraphs>
  <ScaleCrop>false</ScaleCrop>
  <Company/>
  <LinksUpToDate>false</LinksUpToDate>
  <CharactersWithSpaces>17767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2</cp:revision>
  <dcterms:created xsi:type="dcterms:W3CDTF">2026-08-04T07:20:00Z</dcterms:created>
  <dcterms:modified xsi:type="dcterms:W3CDTF">2026-08-04T07:25:00Z</dcterms:modified>
</cp:coreProperties>
</file>